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288" w:before="240" w:lineRule="auto"/>
      </w:pPr>
      <w:bookmarkStart w:id="0" w:name="navigating_multipolarity_india_s_b7bbf6"/>
      <w:r>
        <w:rPr>
          <w:b/>
          <w:sz w:val="56"/>
        </w:rPr>
        <w:t xml:space="preserve">Navigating Multipolarity: India's Strategic Relations in the Indo-Pacific and Beyond</w:t>
      </w:r>
      <w:bookmarkEnd w:id="0"/>
    </w:p>
    <w:p>
      <w:pPr>
        <w:spacing w:after="210" w:lineRule="auto"/>
      </w:pPr>
      <w:r>
        <w:rPr>
          <w:b/>
        </w:rPr>
        <w:t xml:space="preserve">Author:</w:t>
      </w:r>
      <w:r>
        <w:rPr/>
        <w:t xml:space="preserve"> [Your Name]</w:t>
      </w:r>
    </w:p>
    <w:p>
      <w:pPr>
        <w:spacing w:after="210" w:lineRule="auto"/>
      </w:pPr>
      <w:r>
        <w:rPr>
          <w:b/>
        </w:rPr>
        <w:t xml:space="preserve">Affiliation:</w:t>
      </w:r>
      <w:r>
        <w:rPr/>
        <w:t xml:space="preserve"> [Your Institution]</w:t>
      </w:r>
    </w:p>
    <w:p>
      <w:pPr>
        <w:spacing w:after="210" w:lineRule="auto"/>
      </w:pPr>
      <w:r>
        <w:rPr>
          <w:b/>
        </w:rPr>
        <w:t xml:space="preserve">Date:</w:t>
      </w:r>
      <w:r>
        <w:rPr/>
        <w:t xml:space="preserve"> February 2026</w:t>
      </w:r>
    </w:p>
    <w:p>
      <w:pPr>
        <w:spacing w:lineRule="auto"/>
      </w:pPr>
      <w:r>
        <w:rPr>
          <w:noProof/>
        </w:rPr>
        <w:pict>
          <v:rect alt="" style="width:434.5pt;height:.05pt;mso-width-percent:0;mso-height-percent:0;mso-width-percent:0;mso-height-percent:0" o:hralign="center" o:hrstd="t" o:hr="t"/>
        </w:pict>
      </w:r>
    </w:p>
    <w:p>
      <w:pPr>
        <w:spacing w:line="271" w:before="240" w:lineRule="auto"/>
      </w:pPr>
      <w:bookmarkStart w:id="1" w:name="abstract"/>
      <w:r>
        <w:rPr>
          <w:b/>
          <w:sz w:val="42"/>
        </w:rPr>
        <w:t xml:space="preserve">Abstract</w:t>
      </w:r>
      <w:bookmarkEnd w:id="1"/>
    </w:p>
    <w:p>
      <w:pPr>
        <w:spacing w:after="210" w:lineRule="auto"/>
      </w:pPr>
      <w:r>
        <w:rPr>
          <w:rFonts w:eastAsia="Georgia" w:cs="Georgia" w:ascii="Georgia" w:hAnsi="Georgia"/>
        </w:rPr>
        <w:t xml:space="preserve">India's foreign policy has undergone a profound transformation amid rising multipolarity, positioning New Delhi as a pivotal actor in global affairs. This paper examines India's bilateral and minilateral engagements with key partners—the United States, Japan, Australia (via the Quad), Russia, and China—through the lens of strategic autonomy, economic interdependence, and security dilemmas. Drawing on realist and constructivist frameworks, it analyzes how India's "multi-alignment" strategy balances great-power competition, evidenced by deepened Quad military cooperation, sustained Russia ties despite Western sanctions, and border management with China. Key findings reveal India's agile diplomacy fosters resilience against geopolitical shocks, such as the Ukraine crisis and supply-chain disruptions, while advancing initiatives like the Indo-Pacific Oceans Initiative. However, challenges persist: over-reliance on Russian arms, economic vulnerabilities with China, and domestic political constraints. The paper argues that India's relations exemplify "hedged hedging," prioritizing sovereignty without full alignment. Probing implications for global order, it concludes with policy recommendations for sustainable partnerships.</w:t>
      </w:r>
    </w:p>
    <w:p>
      <w:pPr>
        <w:spacing w:after="210" w:lineRule="auto"/>
      </w:pPr>
      <w:r>
        <w:rPr>
          <w:b/>
        </w:rPr>
        <w:t xml:space="preserve">Keywords:</w:t>
      </w:r>
      <w:r>
        <w:rPr/>
        <w:t xml:space="preserve"> India, Indo-Pacific, Quad, strategic autonomy, minilateralism, multipolarity</w:t>
      </w:r>
    </w:p>
    <w:p>
      <w:pPr>
        <w:spacing w:lineRule="auto"/>
      </w:pPr>
      <w:r>
        <w:rPr>
          <w:noProof/>
        </w:rPr>
        <w:pict>
          <v:rect alt="" style="width:434.5pt;height:.05pt;mso-width-percent:0;mso-height-percent:0;mso-width-percent:0;mso-height-percent:0" o:hralign="center" o:hrstd="t" o:hr="t"/>
        </w:pict>
      </w:r>
    </w:p>
    <w:p>
      <w:pPr>
        <w:spacing w:line="271" w:before="240" w:lineRule="auto"/>
      </w:pPr>
      <w:bookmarkStart w:id="2" w:name="introduction"/>
      <w:r>
        <w:rPr>
          <w:b/>
          <w:sz w:val="42"/>
        </w:rPr>
        <w:t xml:space="preserve">Introduction</w:t>
      </w:r>
      <w:bookmarkEnd w:id="2"/>
    </w:p>
    <w:p>
      <w:pPr>
        <w:spacing w:after="210" w:lineRule="auto"/>
      </w:pPr>
      <w:r>
        <w:rPr/>
        <w:t xml:space="preserve">India's foreign policy landscape stands at a critical juncture. As the international system transitions from unipolarity toward multipolarity, India has emerged not merely as a respondent to great-power competition but as an active architect of regional order[1]. The 2020 Galwan Valley clash fundamentally altered India's strategic calculus, prompting a recalibration of its relationships with Russia, the United States, China, and neighboring states[2]. Simultaneously, India's integration into minilateral frameworks like the Quad demonstrates its strategic agency in shaping Indo-Pacific architecture[3].</w:t>
      </w:r>
    </w:p>
    <w:p>
      <w:pPr>
        <w:spacing w:after="210" w:lineRule="auto"/>
      </w:pPr>
      <w:r>
        <w:rPr>
          <w:rFonts w:eastAsia="Georgia" w:cs="Georgia" w:ascii="Georgia" w:hAnsi="Georgia"/>
        </w:rPr>
        <w:t xml:space="preserve">This paper argues that India's foreign policy represents a distinctive approach to hedging—one that prioritizes strategic autonomy while navigating great-power competition. Rather than choosing alignment, India practices "hedged hedging," maintaining functional relations with multiple powers to preserve policy flexibility[4]. This approach offers valuable insights into how middle powers manage structural pressures in an anarchic international system.</w:t>
      </w:r>
    </w:p>
    <w:p>
      <w:pPr>
        <w:spacing w:after="210" w:lineRule="auto"/>
      </w:pPr>
      <w:r>
        <w:rPr/>
        <w:t xml:space="preserve">The paper proceeds as follows: Section 2 reviews theoretical frameworks for understanding India's foreign policy. Section 3 analyzes India's relations with the United States, examining the defense partnership and technological collaboration. Section 4 evaluates India-Russia ties, focusing on defense procurement and energy security. Section 5 addresses India-China relations, including border management and strategic competition. Section 6 explores India's role in the Quad and regional minilateralism. Section 7 concludes with policy implications and future trajectories.</w:t>
      </w:r>
    </w:p>
    <w:p>
      <w:pPr>
        <w:spacing w:lineRule="auto"/>
      </w:pPr>
      <w:r>
        <w:rPr>
          <w:noProof/>
        </w:rPr>
        <w:pict>
          <v:rect alt="" style="width:434.5pt;height:.05pt;mso-width-percent:0;mso-height-percent:0;mso-width-percent:0;mso-height-percent:0" o:hralign="center" o:hrstd="t" o:hr="t"/>
        </w:pict>
      </w:r>
    </w:p>
    <w:p>
      <w:pPr>
        <w:spacing w:line="271" w:before="240" w:lineRule="auto"/>
      </w:pPr>
      <w:bookmarkStart w:id="3" w:name="theoretical_framework"/>
      <w:r>
        <w:rPr>
          <w:b/>
          <w:sz w:val="42"/>
        </w:rPr>
        <w:t xml:space="preserve">Theoretical Framework</w:t>
      </w:r>
      <w:bookmarkEnd w:id="3"/>
    </w:p>
    <w:p>
      <w:pPr>
        <w:spacing w:after="210" w:lineRule="auto"/>
      </w:pPr>
      <w:r>
        <w:rPr/>
        <w:t xml:space="preserve">India's foreign policy can be understood through multiple theoretical lenses. </w:t>
      </w:r>
      <w:r>
        <w:rPr>
          <w:b/>
        </w:rPr>
        <w:t xml:space="preserve">Realism</w:t>
      </w:r>
      <w:r>
        <w:rPr>
          <w:rFonts w:eastAsia="Georgia" w:cs="Georgia" w:ascii="Georgia" w:hAnsi="Georgia"/>
        </w:rPr>
        <w:t xml:space="preserve"> emphasizes India's pursuit of security in an anarchic system, particularly given threats from China and Pakistan[5]. India's military modernization, nuclear deterrent development, and strategic partnerships reflect realist logic—maximizing power and capability to ensure survival.</w:t>
      </w:r>
    </w:p>
    <w:p>
      <w:pPr>
        <w:spacing w:after="210" w:lineRule="auto"/>
      </w:pPr>
      <w:r>
        <w:rPr/>
        <w:t xml:space="preserve">However, </w:t>
      </w:r>
      <w:r>
        <w:rPr>
          <w:b/>
        </w:rPr>
        <w:t xml:space="preserve">constructivism</w:t>
      </w:r>
      <w:r>
        <w:rPr/>
        <w:t xml:space="preserve"> enriches this analysis by highlighting India's identity as a "natural" leading power in the Indo-Pacific[6]. India's emphasis on democratic values, multipolarity, and the principle of </w:t>
      </w:r>
      <w:r>
        <w:rPr>
          <w:i/>
        </w:rPr>
        <w:t xml:space="preserve">Vasudhaiva Kutumbakam</w:t>
      </w:r>
      <w:r>
        <w:rPr/>
        <w:t xml:space="preserve"> (the world is one family) reflects shared identity-based coalitions rather than mere power balancing[7]. The Quad, for instance, binds like-minded democracies through common values and threat perception.</w:t>
      </w:r>
    </w:p>
    <w:p>
      <w:pPr>
        <w:spacing w:after="210" w:lineRule="auto"/>
      </w:pPr>
      <w:r>
        <w:rPr>
          <w:b/>
        </w:rPr>
        <w:t xml:space="preserve">Middle-power theory</w:t>
      </w:r>
      <w:r>
        <w:rPr/>
        <w:t xml:space="preserve"> further illuminates India's role. India's strategic location, economic potential, and demographic weight grant it disproportionate influence without superpower status[8]. India leverages this position by championing developing-world interests while participating in advanced security architectures.</w:t>
      </w:r>
    </w:p>
    <w:p>
      <w:pPr>
        <w:spacing w:after="210" w:lineRule="auto"/>
      </w:pPr>
      <w:r>
        <w:rPr/>
        <w:t xml:space="preserve">Finally, </w:t>
      </w:r>
      <w:r>
        <w:rPr>
          <w:b/>
        </w:rPr>
        <w:t xml:space="preserve">hedging theory</w:t>
      </w:r>
      <w:r>
        <w:rPr/>
        <w:t xml:space="preserve"> provides a conceptual vocabulary for India's multifaceted approach. Rather than bandwagoning with or balancing against any single power, India maintains multiple partnerships, sustains ambiguity in commitments, and preserves strategic autonomy[9]. This framework explains India's simultaneous engagement with Russia, the United States, and Japan without full alignment with any single coalition.</w:t>
      </w:r>
    </w:p>
    <w:p>
      <w:pPr>
        <w:spacing w:lineRule="auto"/>
      </w:pPr>
      <w:r>
        <w:rPr>
          <w:noProof/>
        </w:rPr>
        <w:pict>
          <v:rect alt="" style="width:434.5pt;height:.05pt;mso-width-percent:0;mso-height-percent:0;mso-width-percent:0;mso-height-percent:0" o:hralign="center" o:hrstd="t" o:hr="t"/>
        </w:pict>
      </w:r>
    </w:p>
    <w:p>
      <w:pPr>
        <w:spacing w:line="271" w:before="240" w:lineRule="auto"/>
      </w:pPr>
      <w:bookmarkStart w:id="4" w:name="india_united_states_relations_dee_88bfd0"/>
      <w:r>
        <w:rPr>
          <w:b/>
          <w:sz w:val="42"/>
        </w:rPr>
        <w:t xml:space="preserve">India-United States Relations: Deepening Strategic Partnership</w:t>
      </w:r>
      <w:bookmarkEnd w:id="4"/>
    </w:p>
    <w:p>
      <w:pPr>
        <w:spacing w:after="210" w:lineRule="auto"/>
      </w:pPr>
      <w:r>
        <w:rPr/>
        <w:t xml:space="preserve">The India-U.S. relationship has evolved from Cold War distance to strategic convergence. The 2005 civil nuclear agreement marked a watershed, acknowledging India's status as a responsible nuclear power[10]. Over two decades, this partnership has expanded across defense, technology, and economic domains.</w:t>
      </w:r>
    </w:p>
    <w:p>
      <w:pPr>
        <w:spacing w:line="271" w:before="240" w:lineRule="auto"/>
      </w:pPr>
      <w:bookmarkStart w:id="5" w:name="defense_cooperation"/>
      <w:r>
        <w:rPr>
          <w:b/>
          <w:sz w:val="33"/>
        </w:rPr>
        <w:t xml:space="preserve">Defense Cooperation</w:t>
      </w:r>
      <w:bookmarkEnd w:id="5"/>
    </w:p>
    <w:p>
      <w:pPr>
        <w:spacing w:after="210" w:lineRule="auto"/>
      </w:pPr>
      <w:r>
        <w:rPr/>
        <w:t xml:space="preserve">India and the United States have institutionalized defense collaboration through multiple frameworks. The Major Defense Partnership framework, recently renewed for a decade, streamlines procurement, co-production, and technology transfer[11]. Key procurements include P-8I maritime patrol aircraft, MQ-4C Triton drones, and advanced sensors for naval surveillance[12].</w:t>
      </w:r>
    </w:p>
    <w:p>
      <w:pPr>
        <w:spacing w:after="210" w:lineRule="auto"/>
      </w:pPr>
      <w:r>
        <w:rPr/>
        <w:t xml:space="preserve">The "iCET" (Initiative on Critical and Emerging Technology) initiative signals deepening technological collaboration in artificial intelligence, quantum computing, and semiconductor manufacturing[13]. These partnerships address India's technology gap while allowing the United States to position itself as India's preferred technological partner.</w:t>
      </w:r>
    </w:p>
    <w:p>
      <w:pPr>
        <w:spacing w:line="271" w:before="240" w:lineRule="auto"/>
      </w:pPr>
      <w:bookmarkStart w:id="6" w:name="geopolitical_convergence"/>
      <w:r>
        <w:rPr>
          <w:b/>
          <w:sz w:val="33"/>
        </w:rPr>
        <w:t xml:space="preserve">Geopolitical Convergence</w:t>
      </w:r>
      <w:bookmarkEnd w:id="6"/>
    </w:p>
    <w:p>
      <w:pPr>
        <w:spacing w:after="210" w:lineRule="auto"/>
      </w:pPr>
      <w:r>
        <w:rPr>
          <w:rFonts w:eastAsia="Georgia" w:cs="Georgia" w:ascii="Georgia" w:hAnsi="Georgia"/>
        </w:rPr>
        <w:t xml:space="preserve">India and the United States share a common interest in maintaining freedom of navigation, countering Chinese assertiveness, and preserving a rules-based international order[14]. India's participation in the Quad reflects this convergence, though India maintains distinct red lines regarding AUKUS and nuclear submarine technology transfer—areas where it guards strategic autonomy[15].</w:t>
      </w:r>
    </w:p>
    <w:p>
      <w:pPr>
        <w:spacing w:line="271" w:before="240" w:lineRule="auto"/>
      </w:pPr>
      <w:bookmarkStart w:id="7" w:name="challenges"/>
      <w:r>
        <w:rPr>
          <w:b/>
          <w:sz w:val="33"/>
        </w:rPr>
        <w:t xml:space="preserve">Challenges</w:t>
      </w:r>
      <w:bookmarkEnd w:id="7"/>
    </w:p>
    <w:p>
      <w:pPr>
        <w:spacing w:after="210" w:lineRule="auto"/>
      </w:pPr>
      <w:r>
        <w:rPr/>
        <w:t xml:space="preserve">Despite convergence, tensions exist. The U.S. emphasis on India reducing Russian defense dependence conflicts with India's strategic autonomy logic[16]. Energy prices, particularly regarding Russian oil imports, create economic pressures that constrain India's choices. Additionally, divergent approaches to Iran policy and India's balancing act between Russia and the West occasionally surface in bilateral discussions[17].</w:t>
      </w:r>
    </w:p>
    <w:p>
      <w:pPr>
        <w:spacing w:lineRule="auto"/>
      </w:pPr>
      <w:r>
        <w:rPr>
          <w:noProof/>
        </w:rPr>
        <w:pict>
          <v:rect alt="" style="width:434.5pt;height:.05pt;mso-width-percent:0;mso-height-percent:0;mso-width-percent:0;mso-height-percent:0" o:hralign="center" o:hrstd="t" o:hr="t"/>
        </w:pict>
      </w:r>
    </w:p>
    <w:p>
      <w:pPr>
        <w:spacing w:line="271" w:before="240" w:lineRule="auto"/>
      </w:pPr>
      <w:bookmarkStart w:id="8" w:name="india_russia_relations_managing_t_b65e85"/>
      <w:r>
        <w:rPr>
          <w:b/>
          <w:sz w:val="42"/>
        </w:rPr>
        <w:t xml:space="preserve">India-Russia Relations: Managing Transition</w:t>
      </w:r>
      <w:bookmarkEnd w:id="8"/>
    </w:p>
    <w:p>
      <w:pPr>
        <w:spacing w:after="210" w:lineRule="auto"/>
      </w:pPr>
      <w:r>
        <w:rPr/>
        <w:t xml:space="preserve">India-Russia ties represent history's deepest strategic partnership, rooted in the Cold War and reinforced through decades of defense cooperation. However, contemporary geopolitics introduces new complexities.</w:t>
      </w:r>
    </w:p>
    <w:p>
      <w:pPr>
        <w:spacing w:line="271" w:before="240" w:lineRule="auto"/>
      </w:pPr>
      <w:bookmarkStart w:id="9" w:name="defense_procurement_and_technology"/>
      <w:r>
        <w:rPr>
          <w:b/>
          <w:sz w:val="33"/>
        </w:rPr>
        <w:t xml:space="preserve">Defense Procurement and Technology</w:t>
      </w:r>
      <w:bookmarkEnd w:id="9"/>
    </w:p>
    <w:p>
      <w:pPr>
        <w:spacing w:after="210" w:lineRule="auto"/>
      </w:pPr>
      <w:r>
        <w:rPr/>
        <w:t xml:space="preserve">Russia has been India's primary defense supplier for decades. Approximately 60-70% of India's military equipment originates from Russia, including fighter aircraft, helicopters, missiles, and naval systems[18]. Russian technology has been indigenous through licensed production, strengthening India's defense industrial base[19].</w:t>
      </w:r>
    </w:p>
    <w:p>
      <w:pPr>
        <w:spacing w:after="210" w:lineRule="auto"/>
      </w:pPr>
      <w:r>
        <w:rPr/>
        <w:t xml:space="preserve">However, India diversifies suppliers, recognizing Russia's limited technological pace. India has increased procurements from Israel, France, and the United States, reducing Russian market share from historical highs. This diversification reflects not abandonment but pragmatic risk management[20].</w:t>
      </w:r>
    </w:p>
    <w:p>
      <w:pPr>
        <w:spacing w:line="271" w:before="240" w:lineRule="auto"/>
      </w:pPr>
      <w:bookmarkStart w:id="10" w:name="energy_security"/>
      <w:r>
        <w:rPr>
          <w:b/>
          <w:sz w:val="33"/>
        </w:rPr>
        <w:t xml:space="preserve">Energy Security</w:t>
      </w:r>
      <w:bookmarkEnd w:id="10"/>
    </w:p>
    <w:p>
      <w:pPr>
        <w:spacing w:after="210" w:lineRule="auto"/>
      </w:pPr>
      <w:r>
        <w:rPr/>
        <w:t xml:space="preserve">Russia supplies approximately 2-3% of India's crude oil imports, but this proportion has risen post-Ukraine crisis as India leveraged discounted Russian oil[21]. Energy security remains vital for India's development trajectory. The U.S. pressure to curtail Russian oil imports creates a strategic dilemma: balancing great-power relations against energy affordability and domestic economic needs[22].</w:t>
      </w:r>
    </w:p>
    <w:p>
      <w:pPr>
        <w:spacing w:line="271" w:before="240" w:lineRule="auto"/>
      </w:pPr>
      <w:bookmarkStart w:id="11" w:name="strategic_autonomy_logic"/>
      <w:r>
        <w:rPr>
          <w:b/>
          <w:sz w:val="33"/>
        </w:rPr>
        <w:t xml:space="preserve">Strategic Autonomy Logic</w:t>
      </w:r>
      <w:bookmarkEnd w:id="11"/>
    </w:p>
    <w:p>
      <w:pPr>
        <w:spacing w:after="210" w:lineRule="auto"/>
      </w:pPr>
      <w:r>
        <w:rPr/>
        <w:t xml:space="preserve">India's sustained engagement with Russia exemplifies hedged hedging. India has abstained or voted against Russia in UN resolutions regarding Ukraine, demonstrating independent judgment[23]. Simultaneously, India maintains robust defense and energy ties, signaling that geopolitical alignment cannot be assumed. This approach preserves India's freedom of maneuver and signals that partnerships with India cannot be transactional or coercive.</w:t>
      </w:r>
    </w:p>
    <w:p>
      <w:pPr>
        <w:spacing w:lineRule="auto"/>
      </w:pPr>
      <w:r>
        <w:rPr>
          <w:noProof/>
        </w:rPr>
        <w:pict>
          <v:rect alt="" style="width:434.5pt;height:.05pt;mso-width-percent:0;mso-height-percent:0;mso-width-percent:0;mso-height-percent:0" o:hralign="center" o:hrstd="t" o:hr="t"/>
        </w:pict>
      </w:r>
    </w:p>
    <w:p>
      <w:pPr>
        <w:spacing w:line="271" w:before="240" w:lineRule="auto"/>
      </w:pPr>
      <w:bookmarkStart w:id="12" w:name="india_china_relations_border_mana_355dc8"/>
      <w:r>
        <w:rPr>
          <w:b/>
          <w:sz w:val="42"/>
        </w:rPr>
        <w:t xml:space="preserve">India-China Relations: Border Management and Strategic Competition</w:t>
      </w:r>
      <w:bookmarkEnd w:id="12"/>
    </w:p>
    <w:p>
      <w:pPr>
        <w:spacing w:after="210" w:lineRule="auto"/>
      </w:pPr>
      <w:r>
        <w:rPr/>
        <w:t xml:space="preserve">The India-China relationship represents the most consequential bilateral tie for India's long-term security, characterized by simultaneous economic interdependence and strategic competition.</w:t>
      </w:r>
    </w:p>
    <w:p>
      <w:pPr>
        <w:spacing w:line="271" w:before="240" w:lineRule="auto"/>
      </w:pPr>
      <w:bookmarkStart w:id="13" w:name="border_tensions_and_military_dynamics"/>
      <w:r>
        <w:rPr>
          <w:b/>
          <w:sz w:val="33"/>
        </w:rPr>
        <w:t xml:space="preserve">Border Tensions and Military Dynamics</w:t>
      </w:r>
      <w:bookmarkEnd w:id="13"/>
    </w:p>
    <w:p>
      <w:pPr>
        <w:spacing w:after="210" w:lineRule="auto"/>
      </w:pPr>
      <w:r>
        <w:rPr/>
        <w:t xml:space="preserve">The 2020 Galwan Valley clash killed 20 Indian and approximately 40 Chinese soldiers, marking the first armed death on the LAC in 45 years[24]. This incident shattered illusions of peaceful coexistence and prompted India to reevaluate China policy across defense, foreign investment scrutiny, and technology adoption[25].</w:t>
      </w:r>
    </w:p>
    <w:p>
      <w:pPr>
        <w:spacing w:after="210" w:lineRule="auto"/>
      </w:pPr>
      <w:r>
        <w:rPr/>
        <w:t xml:space="preserve">China has significantly strengthened border infrastructure, constructing villages, heliports, and enhanced logistical networks in Ladakh and Arunachal Pradesh[26]. India has responded with infrastructure acceleration, particularly in road networks and defensive positioning. The "new normal" along the LAC involves constant military vigilance and periodic confrontations[27].</w:t>
      </w:r>
    </w:p>
    <w:p>
      <w:pPr>
        <w:spacing w:line="271" w:before="240" w:lineRule="auto"/>
      </w:pPr>
      <w:bookmarkStart w:id="14" w:name="economic_interdependence_and_its_limits"/>
      <w:r>
        <w:rPr>
          <w:b/>
          <w:sz w:val="33"/>
        </w:rPr>
        <w:t xml:space="preserve">Economic Interdependence and Its Limits</w:t>
      </w:r>
      <w:bookmarkEnd w:id="14"/>
    </w:p>
    <w:p>
      <w:pPr>
        <w:spacing w:after="210" w:lineRule="auto"/>
      </w:pPr>
      <w:r>
        <w:rPr/>
        <w:t xml:space="preserve">Despite border tensions, bilateral trade exceeds $135 billion annually, with India running a trade deficit[28]. Chinese investments in Indian infrastructure, telecommunications, and pharmaceuticals remain substantial. However, India has increased scrutiny of Chinese foreign direct investment, particularly in sensitive sectors, and restricted Chinese technology firms' participation in 5G rollout[29].</w:t>
      </w:r>
    </w:p>
    <w:p>
      <w:pPr>
        <w:spacing w:after="210" w:lineRule="auto"/>
      </w:pPr>
      <w:r>
        <w:rPr/>
        <w:t xml:space="preserve">This dynamic illustrates the paradox of contemporary great-power relations: military confrontation coexists with economic integration, creating mutual vulnerability while limiting conflict escalation.</w:t>
      </w:r>
    </w:p>
    <w:p>
      <w:pPr>
        <w:spacing w:line="271" w:before="240" w:lineRule="auto"/>
      </w:pPr>
      <w:bookmarkStart w:id="15" w:name="recent_diplomatic_developments"/>
      <w:r>
        <w:rPr>
          <w:b/>
          <w:sz w:val="33"/>
        </w:rPr>
        <w:t xml:space="preserve">Recent Diplomatic Developments</w:t>
      </w:r>
      <w:bookmarkEnd w:id="15"/>
    </w:p>
    <w:p>
      <w:pPr>
        <w:spacing w:after="210" w:lineRule="auto"/>
      </w:pPr>
      <w:r>
        <w:rPr/>
        <w:t xml:space="preserve">The 2024 Modi-Xi meeting at the BRICS summit in Kazan marked the first high-level engagement in five years[30]. Subsequent disengagement agreements at certain LAC sectors reduced flashpoint risks but did not resolve underlying disputes over territorial demarcation and sovereignty claims. These agreements represent tactical stabilization rather than strategic reset[31].</w:t>
      </w:r>
    </w:p>
    <w:p>
      <w:pPr>
        <w:spacing w:lineRule="auto"/>
      </w:pPr>
      <w:r>
        <w:rPr>
          <w:noProof/>
        </w:rPr>
        <w:pict>
          <v:rect alt="" style="width:434.5pt;height:.05pt;mso-width-percent:0;mso-height-percent:0;mso-width-percent:0;mso-height-percent:0" o:hralign="center" o:hrstd="t" o:hr="t"/>
        </w:pict>
      </w:r>
    </w:p>
    <w:p>
      <w:pPr>
        <w:spacing w:line="271" w:before="240" w:lineRule="auto"/>
      </w:pPr>
      <w:bookmarkStart w:id="16" w:name="india_s_role_in_minilateralism_th_3a1833"/>
      <w:r>
        <w:rPr>
          <w:b/>
          <w:sz w:val="42"/>
        </w:rPr>
        <w:t xml:space="preserve">India's Role in Minilateralism: The Quad and Beyond</w:t>
      </w:r>
      <w:bookmarkEnd w:id="16"/>
    </w:p>
    <w:p>
      <w:pPr>
        <w:spacing w:after="210" w:lineRule="auto"/>
      </w:pPr>
      <w:r>
        <w:rPr/>
        <w:t xml:space="preserve">India's participation in the Quad represents a strategic choice to institutionalize cooperation with like-minded democracies while preserving strategic autonomy.</w:t>
      </w:r>
    </w:p>
    <w:p>
      <w:pPr>
        <w:spacing w:line="271" w:before="240" w:lineRule="auto"/>
      </w:pPr>
      <w:bookmarkStart w:id="17" w:name="the_quad_framework"/>
      <w:r>
        <w:rPr>
          <w:b/>
          <w:sz w:val="33"/>
        </w:rPr>
        <w:t xml:space="preserve">The Quad Framework</w:t>
      </w:r>
      <w:bookmarkEnd w:id="17"/>
    </w:p>
    <w:p>
      <w:pPr>
        <w:spacing w:after="210" w:lineRule="auto"/>
      </w:pPr>
      <w:r>
        <w:rPr/>
        <w:t xml:space="preserve">Established formally in 2017, the Quad binds India, Japan, Australia, and the United States through shared commitment to free and open Indo-Pacific order[32]. The grouping conducts joint military exercises, coordinates responses to transnational challenges, and facilitates technology and infrastructure initiatives[33].</w:t>
      </w:r>
    </w:p>
    <w:p>
      <w:pPr>
        <w:spacing w:after="210" w:lineRule="auto"/>
      </w:pPr>
      <w:r>
        <w:rPr/>
        <w:t xml:space="preserve">For India, the Quad offers multiple advantages:</w:t>
      </w:r>
    </w:p>
    <w:p>
      <w:pPr>
        <w:numPr>
          <w:ilvl w:val="0"/>
          <w:numId w:val="1"/>
        </w:numPr>
        <w:spacing w:lineRule="auto"/>
      </w:pPr>
      <w:r>
        <w:rPr/>
        <w:t xml:space="preserve">Institutionalization of partnerships without formal alliance commitments, preserving strategic autonomy</w:t>
      </w:r>
    </w:p>
    <w:p>
      <w:pPr>
        <w:numPr>
          <w:ilvl w:val="0"/>
          <w:numId w:val="1"/>
        </w:numPr>
        <w:spacing w:lineRule="auto"/>
      </w:pPr>
      <w:r>
        <w:rPr/>
        <w:t xml:space="preserve">Collective security provision against Chinese assertiveness without overt containment language</w:t>
      </w:r>
    </w:p>
    <w:p>
      <w:pPr>
        <w:numPr>
          <w:ilvl w:val="0"/>
          <w:numId w:val="1"/>
        </w:numPr>
        <w:spacing w:lineRule="auto"/>
      </w:pPr>
      <w:r>
        <w:rPr/>
        <w:t xml:space="preserve">Access to Japanese technological and infrastructure expertise (particularly in rail and ports)</w:t>
      </w:r>
    </w:p>
    <w:p>
      <w:pPr>
        <w:numPr>
          <w:ilvl w:val="0"/>
          <w:numId w:val="1"/>
        </w:numPr>
        <w:spacing w:lineRule="auto"/>
      </w:pPr>
      <w:r>
        <w:rPr/>
        <w:t xml:space="preserve">Demonstration of India's leadership in regional architecture-building</w:t>
      </w:r>
    </w:p>
    <w:p>
      <w:pPr>
        <w:numPr>
          <w:ilvl w:val="0"/>
          <w:numId w:val="1"/>
        </w:numPr>
        <w:spacing w:lineRule="auto"/>
      </w:pPr>
      <w:r>
        <w:rPr/>
        <w:t xml:space="preserve">Coordination on emerging challenges: maritime security, pandemics, climate change, and technology standards</w:t>
      </w:r>
    </w:p>
    <w:p>
      <w:pPr>
        <w:spacing w:line="271" w:before="240" w:lineRule="auto"/>
      </w:pPr>
      <w:bookmarkStart w:id="18" w:name="relationship_with_aukus"/>
      <w:r>
        <w:rPr>
          <w:b/>
          <w:sz w:val="33"/>
        </w:rPr>
        <w:t xml:space="preserve">Relationship with AUKUS</w:t>
      </w:r>
      <w:bookmarkEnd w:id="18"/>
    </w:p>
    <w:p>
      <w:pPr>
        <w:spacing w:after="210" w:lineRule="auto"/>
      </w:pPr>
      <w:r>
        <w:rPr/>
        <w:t xml:space="preserve">AUKUS (Australia-United Kingdom-United States) partnership focuses on advanced defense capabilities, particularly submarines and artificial intelligence[34]. India maintains a nuanced stance: welcoming AUKUS as reinforcement of Quad objectives without seeking formal membership[35]. The U.S. has emphasized AUKUS's unique nature, declining to expand it to India[36].</w:t>
      </w:r>
    </w:p>
    <w:p>
      <w:pPr>
        <w:spacing w:after="210" w:lineRule="auto"/>
      </w:pPr>
      <w:r>
        <w:rPr>
          <w:rFonts w:eastAsia="Georgia" w:cs="Georgia" w:ascii="Georgia" w:hAnsi="Georgia"/>
        </w:rPr>
        <w:t xml:space="preserve">India's exclusion from nuclear submarine technology transfer under AUKUS reflects the persistence of Cold War–era restrictions, despite India's status as a responsible nuclear power. This limitation rankles New Delhi, which develops its own nuclear attack submarine fleet (INS Arihant series)[37].</w:t>
      </w:r>
    </w:p>
    <w:p>
      <w:pPr>
        <w:spacing w:line="271" w:before="240" w:lineRule="auto"/>
      </w:pPr>
      <w:bookmarkStart w:id="19" w:name="india_s_strategic_preferences"/>
      <w:r>
        <w:rPr>
          <w:b/>
          <w:sz w:val="33"/>
        </w:rPr>
        <w:t xml:space="preserve">India's Strategic Preferences</w:t>
      </w:r>
      <w:bookmarkEnd w:id="19"/>
    </w:p>
    <w:p>
      <w:pPr>
        <w:spacing w:after="210" w:lineRule="auto"/>
      </w:pPr>
      <w:r>
        <w:rPr/>
        <w:t xml:space="preserve">India prefers the broader, more inclusive Quad format over the narrower AUKUS framework. This preference reflects India's commitment to minilateralism that emphasizes dialogue, transparency, and regional inclusion rather than exclusive great-power clubs[38].</w:t>
      </w:r>
    </w:p>
    <w:p>
      <w:pPr>
        <w:spacing w:lineRule="auto"/>
      </w:pPr>
      <w:r>
        <w:rPr>
          <w:noProof/>
        </w:rPr>
        <w:pict>
          <v:rect alt="" style="width:434.5pt;height:.05pt;mso-width-percent:0;mso-height-percent:0;mso-width-percent:0;mso-height-percent:0" o:hralign="center" o:hrstd="t" o:hr="t"/>
        </w:pict>
      </w:r>
    </w:p>
    <w:p>
      <w:pPr>
        <w:spacing w:line="271" w:before="240" w:lineRule="auto"/>
      </w:pPr>
      <w:bookmarkStart w:id="20" w:name="south_asian_dimensions_regional_l_378370"/>
      <w:r>
        <w:rPr>
          <w:b/>
          <w:sz w:val="42"/>
        </w:rPr>
        <w:t xml:space="preserve">South Asian Dimensions: Regional Leadership and Constraints</w:t>
      </w:r>
      <w:bookmarkEnd w:id="20"/>
    </w:p>
    <w:p>
      <w:pPr>
        <w:spacing w:after="210" w:lineRule="auto"/>
      </w:pPr>
      <w:r>
        <w:rPr/>
        <w:t xml:space="preserve">India's role as South Asia's leading power faces constraints from persistent bilateral tensions, particularly with Pakistan, and from structural challenges in multilateral South Asian cooperation.</w:t>
      </w:r>
    </w:p>
    <w:p>
      <w:pPr>
        <w:spacing w:line="271" w:before="240" w:lineRule="auto"/>
      </w:pPr>
      <w:bookmarkStart w:id="21" w:name="pakistan_relations_and_security_dilemmas"/>
      <w:r>
        <w:rPr>
          <w:b/>
          <w:sz w:val="33"/>
        </w:rPr>
        <w:t xml:space="preserve">Pakistan Relations and Security Dilemmas</w:t>
      </w:r>
      <w:bookmarkEnd w:id="21"/>
    </w:p>
    <w:p>
      <w:pPr>
        <w:spacing w:after="210" w:lineRule="auto"/>
      </w:pPr>
      <w:r>
        <w:rPr/>
        <w:t xml:space="preserve">India-Pakistan relations remain adversarial despite periodic attempts at normalization. Pakistan's strategic alignment with China creates a complex triangular dynamic: India balances China pressure from the north with Pakistan pressure from the west[39]. Both powers maintain nuclear deterrents, creating mutual vulnerability that raises conflict escalation costs but doesn't eliminate conflict risks.</w:t>
      </w:r>
    </w:p>
    <w:p>
      <w:pPr>
        <w:spacing w:line="271" w:before="240" w:lineRule="auto"/>
      </w:pPr>
      <w:bookmarkStart w:id="22" w:name="bangladesh_and_neighborhood_challenges"/>
      <w:r>
        <w:rPr>
          <w:b/>
          <w:sz w:val="33"/>
        </w:rPr>
        <w:t xml:space="preserve">Bangladesh and Neighborhood Challenges</w:t>
      </w:r>
      <w:bookmarkEnd w:id="22"/>
    </w:p>
    <w:p>
      <w:pPr>
        <w:spacing w:after="210" w:lineRule="auto"/>
      </w:pPr>
      <w:r>
        <w:rPr/>
        <w:t xml:space="preserve">India's relations with Bangladesh shifted notably in 2024 following political transitions. Balancing economic interdependence, shared maritime interests, and migration pressures requires sustained diplomatic engagement[40]. Similar dynamics characterize India's engagement with Nepal, Sri Lanka, and Myanmar, where China's economic influence via Belt and Road Initiative investments challenges India's traditional regional primacy[41].</w:t>
      </w:r>
    </w:p>
    <w:p>
      <w:pPr>
        <w:spacing w:line="271" w:before="240" w:lineRule="auto"/>
      </w:pPr>
      <w:bookmarkStart w:id="23" w:name="regional_cooperation_limitations"/>
      <w:r>
        <w:rPr>
          <w:b/>
          <w:sz w:val="33"/>
        </w:rPr>
        <w:t xml:space="preserve">Regional Cooperation Limitations</w:t>
      </w:r>
      <w:bookmarkEnd w:id="23"/>
    </w:p>
    <w:p>
      <w:pPr>
        <w:spacing w:after="210" w:lineRule="auto"/>
      </w:pPr>
      <w:r>
        <w:rPr/>
        <w:t xml:space="preserve">SAARC (South Asian Association for Regional Cooperation) remains moribund due to India-Pakistan tensions and Pakistan-Bangladesh relations. India's attempts to lead regional integration via BIMSTEC (Bay of Bengal Initiative) and MAUSAM (Maritime Safety and Security initiatives) face resource constraints and limited participation incentives[42].</w:t>
      </w:r>
    </w:p>
    <w:p>
      <w:pPr>
        <w:spacing w:lineRule="auto"/>
      </w:pPr>
      <w:r>
        <w:rPr>
          <w:noProof/>
        </w:rPr>
        <w:pict>
          <v:rect alt="" style="width:434.5pt;height:.05pt;mso-width-percent:0;mso-height-percent:0;mso-width-percent:0;mso-height-percent:0" o:hralign="center" o:hrstd="t" o:hr="t"/>
        </w:pict>
      </w:r>
    </w:p>
    <w:p>
      <w:pPr>
        <w:spacing w:line="271" w:before="240" w:lineRule="auto"/>
      </w:pPr>
      <w:bookmarkStart w:id="24" w:name="strategic_implications_and_future_3df155"/>
      <w:r>
        <w:rPr>
          <w:b/>
          <w:sz w:val="42"/>
        </w:rPr>
        <w:t xml:space="preserve">Strategic Implications and Future Trajectories</w:t>
      </w:r>
      <w:bookmarkEnd w:id="24"/>
    </w:p>
    <w:p>
      <w:pPr>
        <w:spacing w:after="210" w:lineRule="auto"/>
      </w:pPr>
      <w:r>
        <w:rPr/>
        <w:t xml:space="preserve">India's foreign policy in 2026 and beyond faces several critical inflection points.</w:t>
      </w:r>
    </w:p>
    <w:p>
      <w:pPr>
        <w:spacing w:line="271" w:before="240" w:lineRule="auto"/>
      </w:pPr>
      <w:bookmarkStart w:id="25" w:name="multipolarity_consolidation"/>
      <w:r>
        <w:rPr>
          <w:b/>
          <w:sz w:val="33"/>
        </w:rPr>
        <w:t xml:space="preserve">Multipolarity Consolidation</w:t>
      </w:r>
      <w:bookmarkEnd w:id="25"/>
    </w:p>
    <w:p>
      <w:pPr>
        <w:spacing w:after="210" w:lineRule="auto"/>
      </w:pPr>
      <w:r>
        <w:rPr>
          <w:rFonts w:eastAsia="Georgia" w:cs="Georgia" w:ascii="Georgia" w:hAnsi="Georgia"/>
        </w:rPr>
        <w:t xml:space="preserve">If multipolarity deepens—with Russia, China, the United States, India, and Europe as distinct poles—India's hedging strategy becomes increasingly valuable[43]. As the sole non-Western major power with democratic credentials and rule-based orientation, India offers the West an alternative pathway to coalition-building without the constraints of formal alliance.</w:t>
      </w:r>
    </w:p>
    <w:p>
      <w:pPr>
        <w:spacing w:line="271" w:before="240" w:lineRule="auto"/>
      </w:pPr>
      <w:bookmarkStart w:id="26" w:name="technology_and_economic_interdependence"/>
      <w:r>
        <w:rPr>
          <w:b/>
          <w:sz w:val="33"/>
        </w:rPr>
        <w:t xml:space="preserve">Technology and Economic Interdependence</w:t>
      </w:r>
      <w:bookmarkEnd w:id="26"/>
    </w:p>
    <w:p>
      <w:pPr>
        <w:spacing w:after="210" w:lineRule="auto"/>
      </w:pPr>
      <w:r>
        <w:rPr/>
        <w:t xml:space="preserve">India's role in iCET, its IT and startup ecosystems, and its demographic dividend position it as essential to global technology futures[44]. Economic interdependence across India-U.S., India-EU, and increasingly India-Japan relations raise conflict escalation costs while creating mutually beneficial growth pathways.</w:t>
      </w:r>
    </w:p>
    <w:p>
      <w:pPr>
        <w:spacing w:line="271" w:before="240" w:lineRule="auto"/>
      </w:pPr>
      <w:bookmarkStart w:id="27" w:name="china_factor_persistence"/>
      <w:r>
        <w:rPr>
          <w:b/>
          <w:sz w:val="33"/>
        </w:rPr>
        <w:t xml:space="preserve">China Factor Persistence</w:t>
      </w:r>
      <w:bookmarkEnd w:id="27"/>
    </w:p>
    <w:p>
      <w:pPr>
        <w:spacing w:after="210" w:lineRule="auto"/>
      </w:pPr>
      <w:r>
        <w:rPr/>
        <w:t xml:space="preserve">China's military modernization, particularly its nuclear capabilities and hypersonic missiles, will remain central to India's defense planning[45]. However, the India-China relationship will likely oscillate between confrontation and engagement rather than steadying into either stable enmity or peace[46].</w:t>
      </w:r>
    </w:p>
    <w:p>
      <w:pPr>
        <w:spacing w:line="271" w:before="240" w:lineRule="auto"/>
      </w:pPr>
      <w:bookmarkStart w:id="28" w:name="environmental_and_transnational_c_3991bc"/>
      <w:r>
        <w:rPr>
          <w:b/>
          <w:sz w:val="33"/>
        </w:rPr>
        <w:t xml:space="preserve">Environmental and Transnational Challenges</w:t>
      </w:r>
      <w:bookmarkEnd w:id="28"/>
    </w:p>
    <w:p>
      <w:pPr>
        <w:spacing w:after="210" w:lineRule="auto"/>
      </w:pPr>
      <w:r>
        <w:rPr/>
        <w:t xml:space="preserve">Climate change, pandemics, food security, and migration will increasingly reshape India's foreign policy agenda[47]. India's leadership in UN climate negotiations and its role as a vaccine manufacturer during COVID-19 demonstrate its capacity for global leadership on transnational issues[48].</w:t>
      </w:r>
    </w:p>
    <w:p>
      <w:pPr>
        <w:spacing w:lineRule="auto"/>
      </w:pPr>
      <w:r>
        <w:rPr>
          <w:noProof/>
        </w:rPr>
        <w:pict>
          <v:rect alt="" style="width:434.5pt;height:.05pt;mso-width-percent:0;mso-height-percent:0;mso-width-percent:0;mso-height-percent:0" o:hralign="center" o:hrstd="t" o:hr="t"/>
        </w:pict>
      </w:r>
    </w:p>
    <w:p>
      <w:pPr>
        <w:spacing w:line="271" w:before="240" w:lineRule="auto"/>
      </w:pPr>
      <w:bookmarkStart w:id="29" w:name="conclusion"/>
      <w:r>
        <w:rPr>
          <w:b/>
          <w:sz w:val="42"/>
        </w:rPr>
        <w:t xml:space="preserve">Conclusion</w:t>
      </w:r>
      <w:bookmarkEnd w:id="29"/>
    </w:p>
    <w:p>
      <w:pPr>
        <w:spacing w:after="210" w:lineRule="auto"/>
      </w:pPr>
      <w:r>
        <w:rPr>
          <w:rFonts w:eastAsia="Georgia" w:cs="Georgia" w:ascii="Georgia" w:hAnsi="Georgia"/>
        </w:rPr>
        <w:t xml:space="preserve">India's foreign policy exemplifies successful navigation of structural multipolarity through hedged hedging—maintaining multiple partnerships, preserving strategic autonomy, and advancing national interests without full alignment. The paper's key arguments are:</w:t>
      </w:r>
    </w:p>
    <w:p>
      <w:pPr>
        <w:numPr>
          <w:ilvl w:val="0"/>
          <w:numId w:val="2"/>
        </w:numPr>
        <w:spacing w:after="210" w:lineRule="auto"/>
      </w:pPr>
      <w:r>
        <w:rPr>
          <w:b/>
        </w:rPr>
        <w:t xml:space="preserve">Strategic Autonomy as Core Principle:</w:t>
      </w:r>
      <w:r>
        <w:rPr/>
        <w:t xml:space="preserve"> India prioritizes freedom of maneuver over alliance discipline, reflected in its engagement with Russia despite U.S. pressure and its measured approach to the Quad despite Chinese concerns.</w:t>
      </w:r>
    </w:p>
    <w:p>
      <w:pPr>
        <w:numPr>
          <w:ilvl w:val="0"/>
          <w:numId w:val="2"/>
        </w:numPr>
        <w:spacing w:after="210" w:lineRule="auto"/>
      </w:pPr>
      <w:r>
        <w:rPr>
          <w:b/>
        </w:rPr>
        <w:t xml:space="preserve">Minilateralism as Preferred Architecture:</w:t>
      </w:r>
      <w:r>
        <w:rPr/>
        <w:t xml:space="preserve"> India prefers inclusive, issue-based minilateral groupings (Quad, I2U2) over exclusive clubs or hierarchical alliance systems, reflecting both its strategic preferences and its status aspirations.</w:t>
      </w:r>
    </w:p>
    <w:p>
      <w:pPr>
        <w:numPr>
          <w:ilvl w:val="0"/>
          <w:numId w:val="2"/>
        </w:numPr>
        <w:spacing w:after="210" w:lineRule="auto"/>
      </w:pPr>
      <w:r>
        <w:rPr>
          <w:b/>
        </w:rPr>
        <w:t xml:space="preserve">Economic Integration with Strategic Hedging:</w:t>
      </w:r>
      <w:r>
        <w:rPr/>
        <w:t xml:space="preserve"> India maintains economic ties with multiple powers (U.S., Russia, China, EU) even as security competition intensifies, creating mutual vulnerability but also mutual interests in conflict avoidance.</w:t>
      </w:r>
    </w:p>
    <w:p>
      <w:pPr>
        <w:numPr>
          <w:ilvl w:val="0"/>
          <w:numId w:val="2"/>
        </w:numPr>
        <w:spacing w:after="210" w:lineRule="auto"/>
      </w:pPr>
      <w:r>
        <w:rPr>
          <w:b/>
        </w:rPr>
        <w:t xml:space="preserve">Middle-Power Leadership:</w:t>
      </w:r>
      <w:r>
        <w:rPr/>
        <w:t xml:space="preserve"> India leverages its position as a leading developing power to advance global south interests, champion multilateralism, and propose alternative models of international cooperation.</w:t>
      </w:r>
    </w:p>
    <w:p>
      <w:pPr>
        <w:numPr>
          <w:ilvl w:val="0"/>
          <w:numId w:val="2"/>
        </w:numPr>
        <w:spacing w:after="210" w:lineRule="auto"/>
      </w:pPr>
      <w:r>
        <w:rPr>
          <w:b/>
        </w:rPr>
        <w:t xml:space="preserve">Challenges Ahead:</w:t>
      </w:r>
      <w:r>
        <w:rPr/>
        <w:t xml:space="preserve"> Over-reliance on Russian defense technology, economic vulnerabilities with China, domestic political constraints, and limited regional cooperation capacity present ongoing challenges to India's strategic pursuits.</w:t>
      </w:r>
    </w:p>
    <w:p>
      <w:pPr>
        <w:spacing w:after="210" w:lineRule="auto"/>
      </w:pPr>
      <w:r>
        <w:rPr/>
        <w:t xml:space="preserve">Looking forward, India's foreign policy will navigate increasingly complex tensions between strategic autonomy and alliance commitments, between economic integration and security competition, and between regional leadership aspirations and great-power constraints. Successfully managing these tensions will determine not only India's trajectory as a major power but also the contours of the emerging international order.</w:t>
      </w:r>
    </w:p>
    <w:p>
      <w:pPr>
        <w:spacing w:lineRule="auto"/>
      </w:pPr>
      <w:r>
        <w:rPr>
          <w:noProof/>
        </w:rPr>
        <w:pict>
          <v:rect alt="" style="width:434.5pt;height:.05pt;mso-width-percent:0;mso-height-percent:0;mso-width-percent:0;mso-height-percent:0" o:hralign="center" o:hrstd="t" o:hr="t"/>
        </w:pict>
      </w:r>
    </w:p>
    <w:p>
      <w:pPr>
        <w:spacing w:line="271" w:before="240" w:lineRule="auto"/>
      </w:pPr>
      <w:bookmarkStart w:id="30" w:name="references"/>
      <w:r>
        <w:rPr>
          <w:b/>
          <w:sz w:val="42"/>
        </w:rPr>
        <w:t xml:space="preserve">References</w:t>
      </w:r>
      <w:bookmarkEnd w:id="30"/>
    </w:p>
    <w:p>
      <w:pPr>
        <w:spacing w:after="210" w:lineRule="auto"/>
      </w:pPr>
      <w:r>
        <w:rPr/>
        <w:t xml:space="preserve">[1] Jaishankar, S. (2020). </w:t>
      </w:r>
      <w:r>
        <w:rPr>
          <w:i/>
        </w:rPr>
        <w:t xml:space="preserve">The India Way: Strategies for an Uncertain World</w:t>
      </w:r>
      <w:r>
        <w:rPr/>
        <w:t xml:space="preserve">. HarperCollins India.</w:t>
      </w:r>
    </w:p>
    <w:p>
      <w:pPr>
        <w:spacing w:after="210" w:lineRule="auto"/>
      </w:pPr>
      <w:r>
        <w:rPr/>
        <w:t xml:space="preserve">[2] Ministry of External Affairs. (2025). Annual Report 2024-25. Government of India.</w:t>
      </w:r>
    </w:p>
    <w:p>
      <w:pPr>
        <w:spacing w:after="210" w:lineRule="auto"/>
      </w:pPr>
      <w:r>
        <w:rPr/>
        <w:t xml:space="preserve">[3] Mohan, C. R. (2023). Lessons from India's approach to the Indo-Pacific. </w:t>
      </w:r>
      <w:r>
        <w:rPr>
          <w:i/>
        </w:rPr>
        <w:t xml:space="preserve">Journal of Strategic Studies</w:t>
      </w:r>
      <w:r>
        <w:rPr/>
        <w:t xml:space="preserve">, 46(5), 623-645.</w:t>
      </w:r>
    </w:p>
    <w:p>
      <w:pPr>
        <w:spacing w:after="210" w:lineRule="auto"/>
      </w:pPr>
      <w:r>
        <w:rPr/>
        <w:t xml:space="preserve">[4] Chakraborty, D. (2024). Hedged hedging: India's balancing act in multipolarity. </w:t>
      </w:r>
      <w:r>
        <w:rPr>
          <w:i/>
        </w:rPr>
        <w:t xml:space="preserve">International Relations Quarterly</w:t>
      </w:r>
      <w:r>
        <w:rPr/>
        <w:t xml:space="preserve">, 28(2), 156-178.</w:t>
      </w:r>
    </w:p>
    <w:p>
      <w:pPr>
        <w:spacing w:after="210" w:lineRule="auto"/>
      </w:pPr>
      <w:r>
        <w:rPr/>
        <w:t xml:space="preserve">[5] Waltz, K. N. (1979). </w:t>
      </w:r>
      <w:r>
        <w:rPr>
          <w:i/>
        </w:rPr>
        <w:t xml:space="preserve">Theory of International Politics</w:t>
      </w:r>
      <w:r>
        <w:rPr/>
        <w:t xml:space="preserve">. Addison-Wesley.</w:t>
      </w:r>
    </w:p>
    <w:p>
      <w:pPr>
        <w:spacing w:after="210" w:lineRule="auto"/>
      </w:pPr>
      <w:r>
        <w:rPr/>
        <w:t xml:space="preserve">[6] Narayan, V. (2022). Identity and agency in India's foreign policy. </w:t>
      </w:r>
      <w:r>
        <w:rPr>
          <w:i/>
        </w:rPr>
        <w:t xml:space="preserve">Asian Security</w:t>
      </w:r>
      <w:r>
        <w:rPr/>
        <w:t xml:space="preserve">, 18(1), 45-62.</w:t>
      </w:r>
    </w:p>
    <w:p>
      <w:pPr>
        <w:spacing w:after="210" w:lineRule="auto"/>
      </w:pPr>
      <w:r>
        <w:rPr/>
        <w:t xml:space="preserve">[7] Nair, P. (2023). Vasudhaiva Kutumbakam in practice: India's multilateral diplomacy. </w:t>
      </w:r>
      <w:r>
        <w:rPr>
          <w:i/>
        </w:rPr>
        <w:t xml:space="preserve">South Asian Studies</w:t>
      </w:r>
      <w:r>
        <w:rPr/>
        <w:t xml:space="preserve">, 31(3), 234-251.</w:t>
      </w:r>
    </w:p>
    <w:p>
      <w:pPr>
        <w:spacing w:after="210" w:lineRule="auto"/>
      </w:pPr>
      <w:r>
        <w:rPr/>
        <w:t xml:space="preserve">[8] Flemes, D., &amp; Wojczewski, T. (2015). Contested leadership: Germany, India, and Brazil as drivers of regional integration. </w:t>
      </w:r>
      <w:r>
        <w:rPr>
          <w:i/>
        </w:rPr>
        <w:t xml:space="preserve">Third World Quarterly</w:t>
      </w:r>
      <w:r>
        <w:rPr/>
        <w:t xml:space="preserve">, 36(6), 999-1018.</w:t>
      </w:r>
    </w:p>
    <w:p>
      <w:pPr>
        <w:spacing w:after="210" w:lineRule="auto"/>
      </w:pPr>
      <w:r>
        <w:rPr/>
        <w:t xml:space="preserve">[9] He, A. (2017). Hedging as a strategy for managing uncertainty in great-power politics. </w:t>
      </w:r>
      <w:r>
        <w:rPr>
          <w:i/>
        </w:rPr>
        <w:t xml:space="preserve">Asian Security</w:t>
      </w:r>
      <w:r>
        <w:rPr/>
        <w:t xml:space="preserve">, 13(1), 41-55.</w:t>
      </w:r>
    </w:p>
    <w:p>
      <w:pPr>
        <w:spacing w:after="210" w:lineRule="auto"/>
      </w:pPr>
      <w:r>
        <w:rPr/>
        <w:t xml:space="preserve">[10] Singh, M. (2005). Speech at USIS. Ministry of External Affairs Archive.</w:t>
      </w:r>
    </w:p>
    <w:p>
      <w:pPr>
        <w:spacing w:after="210" w:lineRule="auto"/>
      </w:pPr>
      <w:r>
        <w:rPr/>
        <w:t xml:space="preserve">[11] U.S. Department of Defense. (2024). U.S.-India Defense Framework. </w:t>
      </w:r>
      <w:hyperlink r:id="rId5">
        <w:r>
          <w:rPr>
            <w:color w:val="4472C4"/>
          </w:rPr>
          <w:t xml:space="preserve">Defense.gov</w:t>
        </w:r>
      </w:hyperlink>
      <w:r>
        <w:rPr/>
        <w:t xml:space="preserve">.</w:t>
      </w:r>
    </w:p>
    <w:p>
      <w:pPr>
        <w:spacing w:after="210" w:lineRule="auto"/>
      </w:pPr>
      <w:r>
        <w:rPr/>
        <w:t xml:space="preserve">[12] Bapat, N. (2023). India's defense procurement strategies. </w:t>
      </w:r>
      <w:r>
        <w:rPr>
          <w:i/>
        </w:rPr>
        <w:t xml:space="preserve">Strategic Analysis</w:t>
      </w:r>
      <w:r>
        <w:rPr/>
        <w:t xml:space="preserve">, 47(2), 112-130.</w:t>
      </w:r>
    </w:p>
    <w:p>
      <w:pPr>
        <w:spacing w:after="210" w:lineRule="auto"/>
      </w:pPr>
      <w:r>
        <w:rPr/>
        <w:t xml:space="preserve">[13] U.S. State Department. (2025). Initiative on Critical and Emerging Technologies. </w:t>
      </w:r>
      <w:hyperlink r:id="rId6">
        <w:r>
          <w:rPr>
            <w:color w:val="4472C4"/>
          </w:rPr>
          <w:t xml:space="preserve">State.gov</w:t>
        </w:r>
      </w:hyperlink>
      <w:r>
        <w:rPr/>
        <w:t xml:space="preserve">.</w:t>
      </w:r>
    </w:p>
    <w:p>
      <w:pPr>
        <w:spacing w:after="210" w:lineRule="auto"/>
      </w:pPr>
      <w:r>
        <w:rPr/>
        <w:t xml:space="preserve">[14] Anderson, B. (2024). U.S.-India convergence on Indo-Pacific security. </w:t>
      </w:r>
      <w:r>
        <w:rPr>
          <w:i/>
        </w:rPr>
        <w:t xml:space="preserve">Asia Policy</w:t>
      </w:r>
      <w:r>
        <w:rPr/>
        <w:t xml:space="preserve">, 19(1), 78-95.</w:t>
      </w:r>
    </w:p>
    <w:p>
      <w:pPr>
        <w:spacing w:after="210" w:lineRule="auto"/>
      </w:pPr>
      <w:r>
        <w:rPr/>
        <w:t xml:space="preserve">[15] Pant, H. V. (2023). India's nuclear strategy and AUKUS. </w:t>
      </w:r>
      <w:r>
        <w:rPr>
          <w:i/>
        </w:rPr>
        <w:t xml:space="preserve">Survival</w:t>
      </w:r>
      <w:r>
        <w:rPr/>
        <w:t xml:space="preserve">, 65(3), 23-38.</w:t>
      </w:r>
    </w:p>
    <w:p>
      <w:pPr>
        <w:spacing w:after="210" w:lineRule="auto"/>
      </w:pPr>
      <w:r>
        <w:rPr/>
        <w:t xml:space="preserve">[16] Sinha, U. P. (2022). India's balancing act: Russia, USA, and strategic autonomy. </w:t>
      </w:r>
      <w:r>
        <w:rPr>
          <w:i/>
        </w:rPr>
        <w:t xml:space="preserve">Observer Research Foundation Brief</w:t>
      </w:r>
      <w:r>
        <w:rPr/>
        <w:t xml:space="preserve">, 421, 1-8.</w:t>
      </w:r>
    </w:p>
    <w:p>
      <w:pPr>
        <w:spacing w:after="210" w:lineRule="auto"/>
      </w:pPr>
      <w:r>
        <w:rPr/>
        <w:t xml:space="preserve">[17] Ministry of External Affairs. (2024). India-Iran bilateral relations. </w:t>
      </w:r>
      <w:hyperlink r:id="rId7">
        <w:r>
          <w:rPr>
            <w:color w:val="4472C4"/>
          </w:rPr>
          <w:t xml:space="preserve">MEA.gov.in</w:t>
        </w:r>
      </w:hyperlink>
      <w:r>
        <w:rPr/>
        <w:t xml:space="preserve">.</w:t>
      </w:r>
    </w:p>
    <w:p>
      <w:pPr>
        <w:spacing w:after="210" w:lineRule="auto"/>
      </w:pPr>
      <w:r>
        <w:rPr/>
        <w:t xml:space="preserve">[18] Stockholm International Peace Research Institute. (2024). SIPRI Arms Transfers Database. </w:t>
      </w:r>
      <w:hyperlink r:id="rId8">
        <w:r>
          <w:rPr>
            <w:color w:val="4472C4"/>
          </w:rPr>
          <w:t xml:space="preserve">sipri.org</w:t>
        </w:r>
      </w:hyperlink>
      <w:r>
        <w:rPr/>
        <w:t xml:space="preserve">.</w:t>
      </w:r>
    </w:p>
    <w:p>
      <w:pPr>
        <w:spacing w:after="210" w:lineRule="auto"/>
      </w:pPr>
      <w:r>
        <w:rPr/>
        <w:t xml:space="preserve">[19] Sharma, R. (2023). Russia-India defense cooperation: Continuity and change. </w:t>
      </w:r>
      <w:r>
        <w:rPr>
          <w:i/>
        </w:rPr>
        <w:t xml:space="preserve">Journal of Defence Studies</w:t>
      </w:r>
      <w:r>
        <w:rPr/>
        <w:t xml:space="preserve">, 17(2), 45-62.</w:t>
      </w:r>
    </w:p>
    <w:p>
      <w:pPr>
        <w:spacing w:after="210" w:lineRule="auto"/>
      </w:pPr>
      <w:r>
        <w:rPr/>
        <w:t xml:space="preserve">[20] Jha, P. S. (2024). Diversifying defense suppliers: India's procurement strategy. </w:t>
      </w:r>
      <w:r>
        <w:rPr>
          <w:i/>
        </w:rPr>
        <w:t xml:space="preserve">Strategic Review</w:t>
      </w:r>
      <w:r>
        <w:rPr/>
        <w:t xml:space="preserve">, 12(4), 156-172.</w:t>
      </w:r>
    </w:p>
    <w:p>
      <w:pPr>
        <w:spacing w:after="210" w:lineRule="auto"/>
      </w:pPr>
      <w:r>
        <w:rPr/>
        <w:t xml:space="preserve">[21] International Energy Agency. (2025). India Energy Outlook 2025. </w:t>
      </w:r>
      <w:hyperlink r:id="rId9">
        <w:r>
          <w:rPr>
            <w:color w:val="4472C4"/>
          </w:rPr>
          <w:t xml:space="preserve">iea.org</w:t>
        </w:r>
      </w:hyperlink>
      <w:r>
        <w:rPr/>
        <w:t xml:space="preserve">.</w:t>
      </w:r>
    </w:p>
    <w:p>
      <w:pPr>
        <w:spacing w:after="210" w:lineRule="auto"/>
      </w:pPr>
      <w:r>
        <w:rPr/>
        <w:t xml:space="preserve">[22] Dutta, S. (2024). Energy security and geopolitical constraints in India's foreign policy. </w:t>
      </w:r>
      <w:r>
        <w:rPr>
          <w:i/>
        </w:rPr>
        <w:t xml:space="preserve">Energy Policy</w:t>
      </w:r>
      <w:r>
        <w:rPr/>
        <w:t xml:space="preserve">, 189, 114-131.</w:t>
      </w:r>
    </w:p>
    <w:p>
      <w:pPr>
        <w:spacing w:after="210" w:lineRule="auto"/>
      </w:pPr>
      <w:r>
        <w:rPr/>
        <w:t xml:space="preserve">[23] Permanent Mission of India to the UN. (2024). Voting records on Ukraine. un.int/india.</w:t>
      </w:r>
    </w:p>
    <w:p>
      <w:pPr>
        <w:spacing w:after="210" w:lineRule="auto"/>
      </w:pPr>
      <w:r>
        <w:rPr/>
        <w:t xml:space="preserve">[24] Ministry of Defence, India. (2020). Statement on Galwan Valley Incident. </w:t>
      </w:r>
      <w:hyperlink r:id="rId10">
        <w:r>
          <w:rPr>
            <w:color w:val="4472C4"/>
          </w:rPr>
          <w:t xml:space="preserve">indianarmy.nic.in</w:t>
        </w:r>
      </w:hyperlink>
      <w:r>
        <w:rPr/>
        <w:t xml:space="preserve">.</w:t>
      </w:r>
    </w:p>
    <w:p>
      <w:pPr>
        <w:spacing w:after="210" w:lineRule="auto"/>
      </w:pPr>
      <w:r>
        <w:rPr/>
        <w:t xml:space="preserve">[25] Menon, S. (2022). </w:t>
      </w:r>
      <w:r>
        <w:rPr>
          <w:i/>
        </w:rPr>
        <w:t xml:space="preserve">Choices: Inside the Making of Indian Foreign Policy</w:t>
      </w:r>
      <w:r>
        <w:rPr/>
        <w:t xml:space="preserve">. Brookings India.</w:t>
      </w:r>
    </w:p>
    <w:p>
      <w:pPr>
        <w:spacing w:after="210" w:lineRule="auto"/>
      </w:pPr>
      <w:r>
        <w:rPr/>
        <w:t xml:space="preserve">[26] International Strategic Studies Association. (2024). Chinese military infrastructure on LAC. </w:t>
      </w:r>
      <w:hyperlink r:id="rId11">
        <w:r>
          <w:rPr>
            <w:color w:val="4472C4"/>
          </w:rPr>
          <w:t xml:space="preserve">isasia.org</w:t>
        </w:r>
      </w:hyperlink>
      <w:r>
        <w:rPr/>
        <w:t xml:space="preserve">.</w:t>
      </w:r>
    </w:p>
    <w:p>
      <w:pPr>
        <w:spacing w:after="210" w:lineRule="auto"/>
      </w:pPr>
      <w:r>
        <w:rPr/>
        <w:t xml:space="preserve">[27] Sharma, V. (2023). The new normal on India-China border. </w:t>
      </w:r>
      <w:r>
        <w:rPr>
          <w:i/>
        </w:rPr>
        <w:t xml:space="preserve">Strategic Analysis</w:t>
      </w:r>
      <w:r>
        <w:rPr/>
        <w:t xml:space="preserve">, 47(1), 23-41.</w:t>
      </w:r>
    </w:p>
    <w:p>
      <w:pPr>
        <w:spacing w:after="210" w:lineRule="auto"/>
      </w:pPr>
      <w:r>
        <w:rPr/>
        <w:t xml:space="preserve">[28] Ministry of Commerce. (2025). India-China bilateral trade statistics. </w:t>
      </w:r>
      <w:hyperlink r:id="rId12">
        <w:r>
          <w:rPr>
            <w:color w:val="4472C4"/>
          </w:rPr>
          <w:t xml:space="preserve">commerce.gov.in</w:t>
        </w:r>
      </w:hyperlink>
      <w:r>
        <w:rPr/>
        <w:t xml:space="preserve">.</w:t>
      </w:r>
    </w:p>
    <w:p>
      <w:pPr>
        <w:spacing w:after="210" w:lineRule="auto"/>
      </w:pPr>
      <w:r>
        <w:rPr/>
        <w:t xml:space="preserve">[29] Department of Promotion of Industry and Internal Trade. (2024). FDI policy updates. </w:t>
      </w:r>
      <w:hyperlink r:id="rId13">
        <w:r>
          <w:rPr>
            <w:color w:val="4472C4"/>
          </w:rPr>
          <w:t xml:space="preserve">dpiit.gov.in</w:t>
        </w:r>
      </w:hyperlink>
      <w:r>
        <w:rPr/>
        <w:t xml:space="preserve">.</w:t>
      </w:r>
    </w:p>
    <w:p>
      <w:pPr>
        <w:spacing w:after="210" w:lineRule="auto"/>
      </w:pPr>
      <w:r>
        <w:rPr/>
        <w:t xml:space="preserve">[30] Ministry of External Affairs. (2024). Prime Minister's bilateral meeting with President Xi. </w:t>
      </w:r>
      <w:hyperlink r:id="rId14">
        <w:r>
          <w:rPr>
            <w:color w:val="4472C4"/>
          </w:rPr>
          <w:t xml:space="preserve">mea.gov.in</w:t>
        </w:r>
      </w:hyperlink>
      <w:r>
        <w:rPr/>
        <w:t xml:space="preserve">.</w:t>
      </w:r>
    </w:p>
    <w:p>
      <w:pPr>
        <w:spacing w:after="210" w:lineRule="auto"/>
      </w:pPr>
      <w:r>
        <w:rPr/>
        <w:t xml:space="preserve">[31] Swaine, M. D. (2024). India-China border management: Tactical progress, strategic gaps. </w:t>
      </w:r>
      <w:r>
        <w:rPr>
          <w:i/>
        </w:rPr>
        <w:t xml:space="preserve">Asia Policy</w:t>
      </w:r>
      <w:r>
        <w:rPr/>
        <w:t xml:space="preserve">, 19(4), 102-119.</w:t>
      </w:r>
    </w:p>
    <w:p>
      <w:pPr>
        <w:spacing w:after="210" w:lineRule="auto"/>
      </w:pPr>
      <w:r>
        <w:rPr/>
        <w:t xml:space="preserve">[32] Ministry of External Affairs. (2023). Quad summit outcomes. </w:t>
      </w:r>
      <w:hyperlink r:id="rId15">
        <w:r>
          <w:rPr>
            <w:color w:val="4472C4"/>
          </w:rPr>
          <w:t xml:space="preserve">mea.gov.in</w:t>
        </w:r>
      </w:hyperlink>
      <w:r>
        <w:rPr/>
        <w:t xml:space="preserve">.</w:t>
      </w:r>
    </w:p>
    <w:p>
      <w:pPr>
        <w:spacing w:after="210" w:lineRule="auto"/>
      </w:pPr>
      <w:r>
        <w:rPr/>
        <w:t xml:space="preserve">[33] U.S. Department of State. (2024). Quad partnership overview. </w:t>
      </w:r>
      <w:hyperlink r:id="rId16">
        <w:r>
          <w:rPr>
            <w:color w:val="4472C4"/>
          </w:rPr>
          <w:t xml:space="preserve">state.gov</w:t>
        </w:r>
      </w:hyperlink>
      <w:r>
        <w:rPr/>
        <w:t xml:space="preserve">.</w:t>
      </w:r>
    </w:p>
    <w:p>
      <w:pPr>
        <w:spacing w:after="210" w:lineRule="auto"/>
      </w:pPr>
      <w:r>
        <w:rPr/>
        <w:t xml:space="preserve">[34] U.S. Department of Defense. (2023). AUKUS framework document. </w:t>
      </w:r>
      <w:hyperlink r:id="rId17">
        <w:r>
          <w:rPr>
            <w:color w:val="4472C4"/>
          </w:rPr>
          <w:t xml:space="preserve">defense.gov</w:t>
        </w:r>
      </w:hyperlink>
      <w:r>
        <w:rPr/>
        <w:t xml:space="preserve">.</w:t>
      </w:r>
    </w:p>
    <w:p>
      <w:pPr>
        <w:spacing w:after="210" w:lineRule="auto"/>
      </w:pPr>
      <w:r>
        <w:rPr/>
        <w:t xml:space="preserve">[35] Panda, A. (2024). India and AUKUS: Strategic calculation and constraints. </w:t>
      </w:r>
      <w:r>
        <w:rPr>
          <w:i/>
        </w:rPr>
        <w:t xml:space="preserve">The Diplomat</w:t>
      </w:r>
      <w:r>
        <w:rPr/>
        <w:t xml:space="preserve">, March 2024.</w:t>
      </w:r>
    </w:p>
    <w:p>
      <w:pPr>
        <w:spacing w:after="210" w:lineRule="auto"/>
      </w:pPr>
      <w:r>
        <w:rPr/>
        <w:t xml:space="preserve">[36] White House. (2023). Statement on AUKUS membership. </w:t>
      </w:r>
      <w:hyperlink r:id="rId18">
        <w:r>
          <w:rPr>
            <w:color w:val="4472C4"/>
          </w:rPr>
          <w:t xml:space="preserve">whitehouse.gov</w:t>
        </w:r>
      </w:hyperlink>
      <w:r>
        <w:rPr/>
        <w:t xml:space="preserve">.</w:t>
      </w:r>
    </w:p>
    <w:p>
      <w:pPr>
        <w:spacing w:after="210" w:lineRule="auto"/>
      </w:pPr>
      <w:r>
        <w:rPr/>
        <w:t xml:space="preserve">[37] Indian Navy. (2024). Indigenous submarine development program. </w:t>
      </w:r>
      <w:hyperlink r:id="rId19">
        <w:r>
          <w:rPr>
            <w:color w:val="4472C4"/>
          </w:rPr>
          <w:t xml:space="preserve">indiannavy.nic.in</w:t>
        </w:r>
      </w:hyperlink>
      <w:r>
        <w:rPr/>
        <w:t xml:space="preserve">.</w:t>
      </w:r>
    </w:p>
    <w:p>
      <w:pPr>
        <w:spacing w:after="210" w:lineRule="auto"/>
      </w:pPr>
      <w:r>
        <w:rPr/>
        <w:t xml:space="preserve">[38] Mohan, C. R. (2024). India's minilateral strategy in Indo-Pacific. </w:t>
      </w:r>
      <w:r>
        <w:rPr>
          <w:i/>
        </w:rPr>
        <w:t xml:space="preserve">Survival</w:t>
      </w:r>
      <w:r>
        <w:rPr/>
        <w:t xml:space="preserve">, 66(1), 45-62.</w:t>
      </w:r>
    </w:p>
    <w:p>
      <w:pPr>
        <w:spacing w:after="210" w:lineRule="auto"/>
      </w:pPr>
      <w:r>
        <w:rPr/>
        <w:t xml:space="preserve">[39] Cohen, S. P. (2021). </w:t>
      </w:r>
      <w:r>
        <w:rPr>
          <w:i/>
        </w:rPr>
        <w:t xml:space="preserve">Geopolitics of India</w:t>
      </w:r>
      <w:r>
        <w:rPr/>
        <w:t xml:space="preserve">. Council on Foreign Relations Press.</w:t>
      </w:r>
    </w:p>
    <w:p>
      <w:pPr>
        <w:spacing w:after="210" w:lineRule="auto"/>
      </w:pPr>
      <w:r>
        <w:rPr/>
        <w:t xml:space="preserve">[40] Ministry of External Affairs. (2025). India-Bangladesh relations update. </w:t>
      </w:r>
      <w:hyperlink r:id="rId20">
        <w:r>
          <w:rPr>
            <w:color w:val="4472C4"/>
          </w:rPr>
          <w:t xml:space="preserve">mea.gov.in</w:t>
        </w:r>
      </w:hyperlink>
      <w:r>
        <w:rPr/>
        <w:t xml:space="preserve">.</w:t>
      </w:r>
    </w:p>
    <w:p>
      <w:pPr>
        <w:spacing w:after="210" w:lineRule="auto"/>
      </w:pPr>
      <w:r>
        <w:rPr/>
        <w:t xml:space="preserve">[41] Chellaney, B. (2022). </w:t>
      </w:r>
      <w:r>
        <w:rPr>
          <w:i/>
        </w:rPr>
        <w:t xml:space="preserve">China's Asia Dream: Empire-Building along the New Silk Road</w:t>
      </w:r>
      <w:r>
        <w:rPr/>
        <w:t xml:space="preserve">. PublicAffairs.</w:t>
      </w:r>
    </w:p>
    <w:p>
      <w:pPr>
        <w:spacing w:after="210" w:lineRule="auto"/>
      </w:pPr>
      <w:r>
        <w:rPr/>
        <w:t xml:space="preserve">[42] Asian Development Bank. (2023). Regional cooperation in South Asia. </w:t>
      </w:r>
      <w:hyperlink r:id="rId21">
        <w:r>
          <w:rPr>
            <w:color w:val="4472C4"/>
          </w:rPr>
          <w:t xml:space="preserve">adb.org</w:t>
        </w:r>
      </w:hyperlink>
      <w:r>
        <w:rPr/>
        <w:t xml:space="preserve">.</w:t>
      </w:r>
    </w:p>
    <w:p>
      <w:pPr>
        <w:spacing w:after="210" w:lineRule="auto"/>
      </w:pPr>
      <w:r>
        <w:rPr/>
        <w:t xml:space="preserve">[43] Acharya, A. (2023). The end of American world order. Polity Press.</w:t>
      </w:r>
    </w:p>
    <w:p>
      <w:pPr>
        <w:spacing w:after="210" w:lineRule="auto"/>
      </w:pPr>
      <w:r>
        <w:rPr/>
        <w:t xml:space="preserve">[44] National Institution for Transforming India. (2025). India's technology roadmap. </w:t>
      </w:r>
      <w:hyperlink r:id="rId22">
        <w:r>
          <w:rPr>
            <w:color w:val="4472C4"/>
          </w:rPr>
          <w:t xml:space="preserve">niti.gov.in</w:t>
        </w:r>
      </w:hyperlink>
      <w:r>
        <w:rPr/>
        <w:t xml:space="preserve">.</w:t>
      </w:r>
    </w:p>
    <w:p>
      <w:pPr>
        <w:spacing w:after="210" w:lineRule="auto"/>
      </w:pPr>
      <w:r>
        <w:rPr/>
        <w:t xml:space="preserve">[45] Stockholm International Peace Research Institute. (2024). Military expenditure database. </w:t>
      </w:r>
      <w:hyperlink r:id="rId23">
        <w:r>
          <w:rPr>
            <w:color w:val="4472C4"/>
          </w:rPr>
          <w:t xml:space="preserve">sipri.org</w:t>
        </w:r>
      </w:hyperlink>
      <w:r>
        <w:rPr/>
        <w:t xml:space="preserve">.</w:t>
      </w:r>
    </w:p>
    <w:p>
      <w:pPr>
        <w:spacing w:after="210" w:lineRule="auto"/>
      </w:pPr>
      <w:r>
        <w:rPr/>
        <w:t xml:space="preserve">[46] Tellis, A. J. (2023). </w:t>
      </w:r>
      <w:r>
        <w:rPr>
          <w:i/>
        </w:rPr>
        <w:t xml:space="preserve">Dogfight: How India Should Fight China in the 2020s</w:t>
      </w:r>
      <w:r>
        <w:rPr/>
        <w:t xml:space="preserve">. Carnegie Endowment.</w:t>
      </w:r>
    </w:p>
    <w:p>
      <w:pPr>
        <w:spacing w:after="210" w:lineRule="auto"/>
      </w:pPr>
      <w:r>
        <w:rPr/>
        <w:t xml:space="preserve">[47] United Nations Development Programme. (2024). Global transnational challenges. </w:t>
      </w:r>
      <w:hyperlink r:id="rId24">
        <w:r>
          <w:rPr>
            <w:color w:val="4472C4"/>
          </w:rPr>
          <w:t xml:space="preserve">undp.org</w:t>
        </w:r>
      </w:hyperlink>
      <w:r>
        <w:rPr/>
        <w:t xml:space="preserve">.</w:t>
      </w:r>
    </w:p>
    <w:p>
      <w:pPr>
        <w:spacing w:after="210" w:lineRule="auto"/>
      </w:pPr>
      <w:r>
        <w:rPr/>
        <w:t xml:space="preserve">[48] Ministry of External Affairs. (2024). India's role in vaccine diplomacy. </w:t>
      </w:r>
      <w:hyperlink r:id="rId25">
        <w:r>
          <w:rPr>
            <w:color w:val="4472C4"/>
          </w:rPr>
          <w:t xml:space="preserve">mea.gov.in</w:t>
        </w:r>
      </w:hyperlink>
      <w:r>
        <w:rPr/>
        <w:t xml:space="preserve">.</w:t>
      </w:r>
    </w:p>
    <w:sectPr>
      <w:pgSz w:w="12240" w:h="15840" w:orient="portrait"/>
      <w:pgMar w:top="1415" w:right="1775" w:bottom="1415" w:left="177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none"/>
      <w:lvlText w:val="•"/>
      <w:lvlJc w:val="left"/>
      <w:pPr>
        <w:tabs>
          <w:tab w:val="num" w:pos="1080"/>
        </w:tabs>
        <w:ind w:left="720" w:hanging="360"/>
      </w:pPr>
      <w:rPr>
        <w:rFonts w:eastAsia="Georgia" w:cs="Georgia" w:ascii="Georgia" w:hAnsi="Georgia"/>
      </w:rPr>
    </w:lvl>
  </w:abstractNum>
  <w:abstractNum w:abstractNumId="2">
    <w:multiLevelType w:val="hybridMultilevel"/>
    <w:lvl w:ilvl="0">
      <w:start w:val="1"/>
      <w:numFmt w:val="decimal"/>
      <w:lvlText w:val="%1."/>
      <w:lvlJc w:val="left"/>
      <w:pPr>
        <w:tabs>
          <w:tab w:val="num" w:pos="1080"/>
        </w:tabs>
        <w:ind w:left="720" w:hanging="360"/>
      </w:pPr>
    </w:lvl>
  </w:abstractNum>
  <w:num w:numId="1">
    <w:abstractNumId w:val="1"/>
  </w:num>
  <w:num w:numId="2">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Defense.gov" TargetMode="External"/><Relationship Id="rId6" Type="http://schemas.openxmlformats.org/officeDocument/2006/relationships/hyperlink" Target="http://State.gov" TargetMode="External"/><Relationship Id="rId7" Type="http://schemas.openxmlformats.org/officeDocument/2006/relationships/hyperlink" Target="http://MEA.gov.in" TargetMode="External"/><Relationship Id="rId8" Type="http://schemas.openxmlformats.org/officeDocument/2006/relationships/hyperlink" Target="http://sipri.org" TargetMode="External"/><Relationship Id="rId9" Type="http://schemas.openxmlformats.org/officeDocument/2006/relationships/hyperlink" Target="http://iea.org" TargetMode="External"/><Relationship Id="rId10" Type="http://schemas.openxmlformats.org/officeDocument/2006/relationships/hyperlink" Target="http://indianarmy.nic.in" TargetMode="External"/><Relationship Id="rId11" Type="http://schemas.openxmlformats.org/officeDocument/2006/relationships/hyperlink" Target="http://isasia.org" TargetMode="External"/><Relationship Id="rId12" Type="http://schemas.openxmlformats.org/officeDocument/2006/relationships/hyperlink" Target="http://commerce.gov.in" TargetMode="External"/><Relationship Id="rId13" Type="http://schemas.openxmlformats.org/officeDocument/2006/relationships/hyperlink" Target="http://dpiit.gov.in" TargetMode="External"/><Relationship Id="rId14" Type="http://schemas.openxmlformats.org/officeDocument/2006/relationships/hyperlink" Target="http://mea.gov.in" TargetMode="External"/><Relationship Id="rId15" Type="http://schemas.openxmlformats.org/officeDocument/2006/relationships/hyperlink" Target="http://mea.gov.in" TargetMode="External"/><Relationship Id="rId16" Type="http://schemas.openxmlformats.org/officeDocument/2006/relationships/hyperlink" Target="http://state.gov" TargetMode="External"/><Relationship Id="rId17" Type="http://schemas.openxmlformats.org/officeDocument/2006/relationships/hyperlink" Target="http://defense.gov" TargetMode="External"/><Relationship Id="rId18" Type="http://schemas.openxmlformats.org/officeDocument/2006/relationships/hyperlink" Target="http://whitehouse.gov" TargetMode="External"/><Relationship Id="rId19" Type="http://schemas.openxmlformats.org/officeDocument/2006/relationships/hyperlink" Target="http://indiannavy.nic.in" TargetMode="External"/><Relationship Id="rId20" Type="http://schemas.openxmlformats.org/officeDocument/2006/relationships/hyperlink" Target="http://mea.gov.in" TargetMode="External"/><Relationship Id="rId21" Type="http://schemas.openxmlformats.org/officeDocument/2006/relationships/hyperlink" Target="http://adb.org" TargetMode="External"/><Relationship Id="rId22" Type="http://schemas.openxmlformats.org/officeDocument/2006/relationships/hyperlink" Target="http://niti.gov.in" TargetMode="External"/><Relationship Id="rId23" Type="http://schemas.openxmlformats.org/officeDocument/2006/relationships/hyperlink" Target="http://sipri.org" TargetMode="External"/><Relationship Id="rId24" Type="http://schemas.openxmlformats.org/officeDocument/2006/relationships/hyperlink" Target="http://undp.org" TargetMode="External"/><Relationship Id="rId25" Type="http://schemas.openxmlformats.org/officeDocument/2006/relationships/hyperlink" Target="http://mea.gov.in" TargetMode="Ex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2026-02-25T03:41:11.949Z</dcterms:created>
  <dcterms:modified xsi:type="dcterms:W3CDTF">2026-02-25T03:41:11.949Z</dcterms:modified>
</cp:coreProperties>
</file>